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632-т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й в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19 декабря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2023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610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ые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я, которы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19 декабря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2023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610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б установлении акционерному обществу «Ямалкоммунэнерго» (филиал акционерного общества «Ямалкоммунэнерго» в городе Муравленко «Тепло») тарифов на питьевую воду и тарифов на горячую воду для расчетов </w:t>
        <w:br/>
        <w:t xml:space="preserve">с потребителями муниципального образования город Муравлен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ко </w:t>
        <w:br/>
        <w:t xml:space="preserve">и долгосрочных параметров регулирования тарифов на 2024 - 2028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850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УТВЕРЖДЕНЫ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632-т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ИЗМЕНЕНИЯ,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ые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ят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ся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приказ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де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парта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автономного окр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19 декабря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2023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610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1. В наименовании слова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 Муравленко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»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заменить словами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Муравленко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/>
    </w:p>
    <w:p>
      <w:pPr>
        <w:contextualSpacing/>
        <w:ind w:left="0" w:right="0" w:firstLine="708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2. В пункте 1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слова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 Муравленко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»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заменить словами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Муравленко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/>
    </w:p>
    <w:p>
      <w:pPr>
        <w:pStyle w:val="836"/>
        <w:ind w:left="0" w:firstLine="708"/>
        <w:rPr>
          <w:rFonts w:ascii="Liberation Sans" w:hAnsi="Liberation Sans" w:eastAsia="Liberation Serif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3. </w:t>
      </w:r>
      <w:r>
        <w:rPr>
          <w:rFonts w:ascii="Liberation Sans" w:hAnsi="Liberation Sans" w:eastAsia="Liberation Serif" w:cs="Liberation Sans"/>
          <w:sz w:val="24"/>
          <w:highlight w:val="none"/>
        </w:rPr>
        <w:t xml:space="preserve">Приложение №1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 </w:t>
      </w:r>
      <w:r>
        <w:rPr>
          <w:rFonts w:ascii="Liberation Sans" w:hAnsi="Liberation Sans" w:eastAsia="Liberation Serif" w:cs="Liberation Sans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1</w:t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19 декабря 2023 года № 610-т</w:t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/>
    </w:p>
    <w:p>
      <w:pPr>
        <w:ind w:left="9923" w:firstLine="0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632-т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Тарифы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питьевую воду и тарифы на горячую воду,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установленные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в городе Муравленко «Тепло»)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для расчетов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 потребителями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Муравленко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rPr>
          <w:rFonts w:ascii="Liberation Sans" w:hAnsi="Liberation Sans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rPr>
          <w:rFonts w:ascii="Liberation Sans" w:hAnsi="Liberation Sans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rPr>
          <w:rFonts w:ascii="Liberation Sans" w:hAnsi="Liberation Sans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rPr>
          <w:rFonts w:ascii="Liberation Sans" w:hAnsi="Liberation Sans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  <w:t xml:space="preserve">I. Тарифы на питьевую воду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jc w:val="right"/>
        <w:rPr>
          <w:rFonts w:ascii="Liberation Sans" w:hAnsi="Liberation Sans" w:eastAsia="Times New Roman" w:cs="Liberation Sans"/>
          <w:b w:val="0"/>
          <w:bCs w:val="0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137,83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146,06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146,06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163,59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yellow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146,06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146,06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146,06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146,06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146,06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146,06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0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48,72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52,61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52,61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57,03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1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2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58,46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63,13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63,13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68,43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firstLine="540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</w:t>
        <w:tab/>
        <w:tab/>
        <w:tab/>
        <w:tab/>
        <w:t xml:space="preserve">            </w:t>
        <w:tab/>
        <w:tab/>
      </w:r>
      <w:r/>
    </w:p>
    <w:p>
      <w:pPr>
        <w:ind w:firstLine="540"/>
        <w:jc w:val="both"/>
      </w:pPr>
      <w:r/>
      <w:r/>
    </w:p>
    <w:p>
      <w:pPr>
        <w:ind w:firstLine="540"/>
        <w:jc w:val="both"/>
      </w:pPr>
      <w:r/>
      <w:r/>
    </w:p>
    <w:p>
      <w:pPr>
        <w:contextualSpacing w:val="0"/>
        <w:ind w:left="0" w:right="0" w:firstLine="0"/>
        <w:jc w:val="center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  <w:t xml:space="preserve">II. Тарифы на горячую воду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contextualSpacing w:val="0"/>
        <w:ind w:left="0" w:right="0" w:firstLine="0"/>
        <w:jc w:val="right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color w:val="000000"/>
          <w:highlight w:val="none"/>
        </w:rPr>
      </w:r>
      <w:r/>
    </w:p>
    <w:p>
      <w:pPr>
        <w:contextualSpacing w:val="0"/>
        <w:ind w:left="0" w:right="0" w:firstLine="0"/>
        <w:jc w:val="right"/>
        <w:spacing w:before="0" w:after="0" w:line="240" w:lineRule="auto"/>
        <w:rPr>
          <w:rFonts w:ascii="Liberation Sans" w:hAnsi="Liberation Sans" w:cs="Liberation Sans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  <w:t xml:space="preserve">Таблица 2</w:t>
      </w:r>
      <w:r>
        <w:rPr>
          <w:sz w:val="24"/>
          <w:szCs w:val="24"/>
        </w:rPr>
      </w:r>
      <w:r/>
    </w:p>
    <w:tbl>
      <w:tblPr>
        <w:tblW w:w="4875" w:type="pct"/>
        <w:tblInd w:w="4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1"/>
        <w:gridCol w:w="3665"/>
        <w:gridCol w:w="1417"/>
        <w:gridCol w:w="4535"/>
        <w:gridCol w:w="4730"/>
      </w:tblGrid>
      <w:tr>
        <w:trPr/>
        <w:tc>
          <w:tcPr>
            <w:tcBorders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Потребител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и коммунальных ресурсов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W w:w="4535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тепловую энергию,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руб./Гкал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  <w:tc>
          <w:tcPr>
            <w:tcW w:w="4730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холодную воду,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руб./м3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cantSplit/>
          <w:trHeight w:val="38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Иные потребители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4221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4373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137,83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146,06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4373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5092</w:t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146,06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yellow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163,59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yellow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4448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4525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146,06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146,06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szCs w:val="23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4525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4603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146,06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146,06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szCs w:val="23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4603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4682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146,06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146,06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Потребители, имеющие право на льготные тарифы &lt;*&gt; 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1449,37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1565,31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52,16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57,03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1565,31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1706,19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52,16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57,03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Население &lt;**&gt;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 (включая НДС) &lt;***&gt;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1739,24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1878,37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58,46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63,13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1878,37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2047,42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63,13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68,43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49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</w:tbl>
    <w:p>
      <w:pPr>
        <w:ind w:left="425" w:right="-283" w:firstLine="709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6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/>
    </w:p>
    <w:p>
      <w:pPr>
        <w:ind w:left="425" w:right="-283" w:firstLine="709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7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/>
    </w:p>
    <w:p>
      <w:pPr>
        <w:ind w:left="425" w:right="-283" w:firstLine="709"/>
        <w:jc w:val="both"/>
        <w:rPr>
          <w:rFonts w:ascii="Liberation Sans" w:hAnsi="Liberation Sans" w:eastAsia="Liberation Serif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8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</w:t>
        <w:tab/>
        <w:t xml:space="preserve">                                  </w:t>
      </w:r>
      <w:r/>
    </w:p>
    <w:p>
      <w:pPr>
        <w:ind w:left="425" w:right="-283" w:firstLine="709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eastAsia="Liberation Serif" w:cs="Liberation Sans"/>
          <w:color w:val="000000" w:themeColor="text1"/>
        </w:rPr>
        <w:t xml:space="preserve">Льготные тарифы на холодную воду также применяются в качестве компонентов для расчета тарифов на горячую воду в закрытых системах горячего водоснабжения.</w:t>
      </w:r>
      <w:r>
        <w:rPr>
          <w:rFonts w:ascii="Liberation Sans" w:hAnsi="Liberation Sans" w:eastAsia="Liberation Serif" w:cs="Liberation Sans"/>
          <w:color w:val="000000" w:themeColor="text1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».</w:t>
      </w:r>
      <w:r/>
    </w:p>
    <w:sectPr>
      <w:footnotePr/>
      <w:endnotePr/>
      <w:type w:val="nextPage"/>
      <w:pgSz w:w="16838" w:h="11906" w:orient="landscape"/>
      <w:pgMar w:top="1134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  <w:style w:type="paragraph" w:styleId="860" w:customStyle="1">
    <w:name w:val="Обычный1"/>
    <w:link w:val="82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30AE12744AACC646BD4A127E9A00FA26F3F5D77ABA9B9249DE8065AAD0E7560D85AC42817DBE367E208644GEEAF" TargetMode="External"/><Relationship Id="rId11" Type="http://schemas.openxmlformats.org/officeDocument/2006/relationships/hyperlink" Target="consultantplus://offline/ref=E2D39A4F09B56413B3EC0001D0709032262D2B4CB0535EAD3A2383E493BF8F76C45AD369E8E1994C547488p5EDF" TargetMode="External"/><Relationship Id="rId12" Type="http://schemas.openxmlformats.org/officeDocument/2006/relationships/hyperlink" Target="consultantplus://offline/ref=E2D39A4F09B56413B3EC0001D0709032262D2B4CB0535EAD3A2383E493BF8F76C45AD369E8E1994C547488p5ECF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Relationship Id="rId16" Type="http://schemas.openxmlformats.org/officeDocument/2006/relationships/hyperlink" Target="consultantplus://offline/ref=BC4FDCB53AB2EC8B14B6B3AE8120CF99E618AD28C81A94C69A1C057EC095CEE9BB73B2CF9B88F0D7DA4765HEQ0F" TargetMode="External"/><Relationship Id="rId17" Type="http://schemas.openxmlformats.org/officeDocument/2006/relationships/hyperlink" Target="consultantplus://offline/ref=BC4FDCB53AB2EC8B14B6B3AE8120CF99E618AD28C81A94C69A1C057EC095CEE9BB73B2CF9B88F0D7DA4765HEQFF" TargetMode="External"/><Relationship Id="rId18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37</cp:revision>
  <dcterms:modified xsi:type="dcterms:W3CDTF">2024-12-22T07:28:20Z</dcterms:modified>
</cp:coreProperties>
</file>